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54" w:rsidRPr="00137739" w:rsidRDefault="004A5754" w:rsidP="00CA7C56">
      <w:pPr>
        <w:pBdr>
          <w:bottom w:val="single" w:sz="4" w:space="1" w:color="auto"/>
        </w:pBdr>
        <w:rPr>
          <w:rFonts w:ascii="Corbel" w:hAnsi="Corbel"/>
          <w:b/>
          <w:sz w:val="20"/>
          <w:szCs w:val="20"/>
        </w:rPr>
      </w:pPr>
      <w:r w:rsidRPr="00137739">
        <w:rPr>
          <w:rFonts w:ascii="Corbel" w:hAnsi="Corbel"/>
          <w:b/>
          <w:sz w:val="20"/>
          <w:szCs w:val="20"/>
        </w:rPr>
        <w:t>PLAN PREDAVANJA I VEŽBANJA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8189"/>
      </w:tblGrid>
      <w:tr w:rsidR="004A5754" w:rsidRPr="00137739" w:rsidTr="00C749B2">
        <w:tc>
          <w:tcPr>
            <w:tcW w:w="2235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</w:rPr>
              <w:t>Predmet:</w:t>
            </w:r>
          </w:p>
        </w:tc>
        <w:tc>
          <w:tcPr>
            <w:tcW w:w="8189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sz w:val="20"/>
                <w:szCs w:val="20"/>
                <w:lang w:val="sr-Latn-CS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KOMUNALNA HIDROTEHNIKA 3</w:t>
            </w:r>
          </w:p>
        </w:tc>
      </w:tr>
      <w:tr w:rsidR="004A5754" w:rsidRPr="00137739" w:rsidTr="00C749B2">
        <w:tc>
          <w:tcPr>
            <w:tcW w:w="2235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</w:rPr>
              <w:t>Odsek:</w:t>
            </w:r>
          </w:p>
        </w:tc>
        <w:tc>
          <w:tcPr>
            <w:tcW w:w="8189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Hidrotehnika i vodno-ekološko inženjerstvo (HVE)</w:t>
            </w:r>
          </w:p>
        </w:tc>
      </w:tr>
      <w:tr w:rsidR="004A5754" w:rsidRPr="00137739" w:rsidTr="00C749B2">
        <w:tc>
          <w:tcPr>
            <w:tcW w:w="2235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</w:rPr>
              <w:t>Semestar / fond časova</w:t>
            </w:r>
          </w:p>
        </w:tc>
        <w:tc>
          <w:tcPr>
            <w:tcW w:w="8189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zimski / (2+2)</w:t>
            </w:r>
          </w:p>
        </w:tc>
      </w:tr>
      <w:tr w:rsidR="004A5754" w:rsidRPr="00137739" w:rsidTr="00C749B2">
        <w:tc>
          <w:tcPr>
            <w:tcW w:w="2235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</w:rPr>
              <w:t>Status/ESPB</w:t>
            </w:r>
          </w:p>
        </w:tc>
        <w:tc>
          <w:tcPr>
            <w:tcW w:w="8189" w:type="dxa"/>
          </w:tcPr>
          <w:p w:rsidR="004A5754" w:rsidRPr="00137739" w:rsidRDefault="006C6A84" w:rsidP="002452FF">
            <w:pPr>
              <w:spacing w:before="120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</w:rPr>
              <w:t>Izborni / 5</w:t>
            </w:r>
          </w:p>
        </w:tc>
      </w:tr>
      <w:tr w:rsidR="004A5754" w:rsidRPr="00137739" w:rsidTr="00C749B2">
        <w:tc>
          <w:tcPr>
            <w:tcW w:w="2235" w:type="dxa"/>
          </w:tcPr>
          <w:p w:rsidR="004A5754" w:rsidRPr="00137739" w:rsidRDefault="00AC77B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Nastavnici</w:t>
            </w:r>
          </w:p>
        </w:tc>
        <w:tc>
          <w:tcPr>
            <w:tcW w:w="8189" w:type="dxa"/>
          </w:tcPr>
          <w:p w:rsidR="00AC77B4" w:rsidRDefault="00AC77B4" w:rsidP="00AC77B4">
            <w:pPr>
              <w:spacing w:before="120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</w:rPr>
              <w:t>Doc.dr Branislava Lekić (</w:t>
            </w:r>
            <w:hyperlink r:id="rId6" w:history="1">
              <w:r w:rsidR="00BB3E9A" w:rsidRPr="009B13B1">
                <w:rPr>
                  <w:rStyle w:val="Hyperlink"/>
                  <w:rFonts w:ascii="Corbel" w:hAnsi="Corbel"/>
                  <w:sz w:val="20"/>
                  <w:szCs w:val="20"/>
                </w:rPr>
                <w:t>branaj@grf.bg.ac.rs</w:t>
              </w:r>
            </w:hyperlink>
            <w:r w:rsidRPr="00137739">
              <w:rPr>
                <w:rFonts w:ascii="Corbel" w:hAnsi="Corbel"/>
                <w:sz w:val="20"/>
                <w:szCs w:val="20"/>
              </w:rPr>
              <w:t>)</w:t>
            </w:r>
            <w:r w:rsidR="00BB3E9A">
              <w:rPr>
                <w:rFonts w:ascii="Corbel" w:hAnsi="Corbel"/>
                <w:sz w:val="20"/>
                <w:szCs w:val="20"/>
              </w:rPr>
              <w:t xml:space="preserve"> (kabinet 337 ili 154)</w:t>
            </w:r>
          </w:p>
          <w:p w:rsidR="00AC77B4" w:rsidRDefault="00AC77B4" w:rsidP="00AC77B4">
            <w:pPr>
              <w:spacing w:before="120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</w:rPr>
              <w:t>Doc.dr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 Branislav Babić</w:t>
            </w:r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, dipl.inž.građ.</w:t>
            </w:r>
            <w:r w:rsidRPr="00137739">
              <w:rPr>
                <w:rFonts w:ascii="Corbel" w:hAnsi="Corbel"/>
                <w:sz w:val="20"/>
                <w:szCs w:val="20"/>
              </w:rPr>
              <w:t xml:space="preserve"> (</w:t>
            </w:r>
            <w:hyperlink r:id="rId7" w:history="1">
              <w:r w:rsidR="00D04DFB" w:rsidRPr="00CD7CAB">
                <w:rPr>
                  <w:rStyle w:val="Hyperlink"/>
                  <w:rFonts w:ascii="Corbel" w:hAnsi="Corbel"/>
                  <w:sz w:val="20"/>
                  <w:szCs w:val="20"/>
                </w:rPr>
                <w:t>babic@grf.bg.ac.rs</w:t>
              </w:r>
            </w:hyperlink>
            <w:r w:rsidRPr="00137739">
              <w:rPr>
                <w:rFonts w:ascii="Corbel" w:hAnsi="Corbel"/>
                <w:sz w:val="20"/>
                <w:szCs w:val="20"/>
              </w:rPr>
              <w:t>)</w:t>
            </w:r>
          </w:p>
          <w:p w:rsidR="00D04DFB" w:rsidRPr="00AC77B4" w:rsidRDefault="00D04DFB" w:rsidP="00AC77B4">
            <w:pPr>
              <w:spacing w:before="1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Doc.dr Aleksandar Đukić, </w:t>
            </w:r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dipl.inž.građ.</w:t>
            </w:r>
            <w:r>
              <w:rPr>
                <w:rFonts w:ascii="Corbel" w:hAnsi="Corbel"/>
                <w:sz w:val="20"/>
                <w:szCs w:val="20"/>
                <w:lang w:val="sr-Latn-CS"/>
              </w:rPr>
              <w:t xml:space="preserve"> (djukic@grf.bg.ac.rs)</w:t>
            </w:r>
          </w:p>
        </w:tc>
      </w:tr>
      <w:tr w:rsidR="00C749B2" w:rsidRPr="00137739" w:rsidTr="00C749B2">
        <w:tc>
          <w:tcPr>
            <w:tcW w:w="2235" w:type="dxa"/>
          </w:tcPr>
          <w:p w:rsidR="00C749B2" w:rsidRPr="00137739" w:rsidRDefault="00C749B2" w:rsidP="002452FF">
            <w:pPr>
              <w:spacing w:before="120"/>
              <w:rPr>
                <w:rFonts w:ascii="Corbel" w:hAnsi="Corbel"/>
                <w:b/>
                <w:sz w:val="20"/>
                <w:szCs w:val="20"/>
                <w:lang w:val="it-IT"/>
              </w:rPr>
            </w:pPr>
            <w:r>
              <w:rPr>
                <w:rFonts w:ascii="Corbel" w:hAnsi="Corbel"/>
                <w:b/>
                <w:sz w:val="20"/>
                <w:szCs w:val="20"/>
                <w:lang w:val="it-IT"/>
              </w:rPr>
              <w:t>Saradnici</w:t>
            </w:r>
          </w:p>
        </w:tc>
        <w:tc>
          <w:tcPr>
            <w:tcW w:w="8189" w:type="dxa"/>
          </w:tcPr>
          <w:p w:rsidR="00C749B2" w:rsidRPr="00C749B2" w:rsidRDefault="00C749B2" w:rsidP="00C749B2">
            <w:pPr>
              <w:spacing w:before="120"/>
              <w:rPr>
                <w:rFonts w:ascii="Corbel" w:hAnsi="Corbel"/>
                <w:spacing w:val="-2"/>
                <w:sz w:val="20"/>
                <w:szCs w:val="20"/>
                <w:lang w:val="it-IT"/>
              </w:rPr>
            </w:pPr>
            <w:r w:rsidRPr="00C749B2">
              <w:rPr>
                <w:rFonts w:ascii="Corbel" w:hAnsi="Corbel"/>
                <w:spacing w:val="-2"/>
                <w:sz w:val="20"/>
                <w:szCs w:val="20"/>
                <w:lang w:val="it-IT"/>
              </w:rPr>
              <w:t>Ognjen Govedarica,</w:t>
            </w:r>
            <w:r w:rsidRPr="00C749B2">
              <w:rPr>
                <w:rFonts w:ascii="Corbel" w:hAnsi="Corbel"/>
                <w:spacing w:val="-2"/>
                <w:sz w:val="20"/>
                <w:szCs w:val="20"/>
                <w:lang w:val="sr-Latn-CS"/>
              </w:rPr>
              <w:t xml:space="preserve"> dipl.inž.građ. (</w:t>
            </w:r>
            <w:hyperlink r:id="rId8" w:history="1">
              <w:r w:rsidRPr="00C749B2">
                <w:rPr>
                  <w:rStyle w:val="Hyperlink"/>
                  <w:rFonts w:ascii="Corbel" w:hAnsi="Corbel"/>
                  <w:spacing w:val="-2"/>
                  <w:sz w:val="20"/>
                  <w:szCs w:val="20"/>
                  <w:lang w:val="sr-Latn-CS"/>
                </w:rPr>
                <w:t>ogovedarica@grf.bg.ac.rs</w:t>
              </w:r>
            </w:hyperlink>
            <w:r w:rsidRPr="00C749B2">
              <w:rPr>
                <w:rFonts w:ascii="Corbel" w:hAnsi="Corbel"/>
                <w:spacing w:val="-2"/>
                <w:sz w:val="20"/>
                <w:szCs w:val="20"/>
                <w:lang w:val="sr-Latn-CS"/>
              </w:rPr>
              <w:t xml:space="preserve">), </w:t>
            </w:r>
            <w:r w:rsidRPr="00C749B2">
              <w:rPr>
                <w:rFonts w:ascii="Corbel" w:hAnsi="Corbel"/>
                <w:spacing w:val="-2"/>
                <w:sz w:val="20"/>
                <w:szCs w:val="20"/>
                <w:lang w:val="it-IT"/>
              </w:rPr>
              <w:t>asistent- student doktorskih studija</w:t>
            </w:r>
          </w:p>
        </w:tc>
      </w:tr>
      <w:tr w:rsidR="006C6A84" w:rsidRPr="00137739" w:rsidTr="00C749B2">
        <w:tc>
          <w:tcPr>
            <w:tcW w:w="2235" w:type="dxa"/>
          </w:tcPr>
          <w:p w:rsidR="006C6A84" w:rsidRPr="00137739" w:rsidRDefault="006C6A84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  <w:lang w:val="it-IT"/>
              </w:rPr>
              <w:t>Konsultacije</w:t>
            </w:r>
          </w:p>
        </w:tc>
        <w:tc>
          <w:tcPr>
            <w:tcW w:w="8189" w:type="dxa"/>
          </w:tcPr>
          <w:p w:rsidR="006C6A84" w:rsidRPr="00137739" w:rsidRDefault="006C6A84" w:rsidP="002452FF">
            <w:pPr>
              <w:spacing w:before="120"/>
              <w:rPr>
                <w:rFonts w:ascii="Corbel" w:hAnsi="Corbel"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sreda od 1</w:t>
            </w:r>
            <w:r w:rsidR="007078A3">
              <w:rPr>
                <w:rFonts w:ascii="Corbel" w:hAnsi="Corbel"/>
                <w:sz w:val="20"/>
                <w:szCs w:val="20"/>
                <w:lang w:val="it-IT"/>
              </w:rPr>
              <w:t>3</w:t>
            </w:r>
            <w:r w:rsidRPr="00137739">
              <w:rPr>
                <w:rFonts w:ascii="Corbel" w:hAnsi="Corbel"/>
                <w:sz w:val="20"/>
                <w:szCs w:val="20"/>
                <w:vertAlign w:val="superscript"/>
                <w:lang w:val="it-IT"/>
              </w:rPr>
              <w:t>00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-1</w:t>
            </w:r>
            <w:r w:rsidR="007078A3">
              <w:rPr>
                <w:rFonts w:ascii="Corbel" w:hAnsi="Corbel"/>
                <w:sz w:val="20"/>
                <w:szCs w:val="20"/>
                <w:lang w:val="it-IT"/>
              </w:rPr>
              <w:t>5</w:t>
            </w:r>
            <w:r w:rsidRPr="00137739">
              <w:rPr>
                <w:rFonts w:ascii="Corbel" w:hAnsi="Corbel"/>
                <w:sz w:val="20"/>
                <w:szCs w:val="20"/>
                <w:vertAlign w:val="superscript"/>
                <w:lang w:val="it-IT"/>
              </w:rPr>
              <w:t>00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 i četvrtak 1</w:t>
            </w:r>
            <w:r w:rsidR="007078A3">
              <w:rPr>
                <w:rFonts w:ascii="Corbel" w:hAnsi="Corbel"/>
                <w:sz w:val="20"/>
                <w:szCs w:val="20"/>
                <w:lang w:val="it-IT"/>
              </w:rPr>
              <w:t>4</w:t>
            </w:r>
            <w:r w:rsidRPr="00137739">
              <w:rPr>
                <w:rFonts w:ascii="Corbel" w:hAnsi="Corbel"/>
                <w:sz w:val="20"/>
                <w:szCs w:val="20"/>
                <w:vertAlign w:val="superscript"/>
                <w:lang w:val="it-IT"/>
              </w:rPr>
              <w:t>00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-15</w:t>
            </w:r>
            <w:r w:rsidRPr="00137739">
              <w:rPr>
                <w:rFonts w:ascii="Corbel" w:hAnsi="Corbel"/>
                <w:sz w:val="20"/>
                <w:szCs w:val="20"/>
                <w:vertAlign w:val="superscript"/>
                <w:lang w:val="it-IT"/>
              </w:rPr>
              <w:t>00</w:t>
            </w:r>
          </w:p>
        </w:tc>
      </w:tr>
      <w:tr w:rsidR="007050FB" w:rsidRPr="00137739" w:rsidTr="00C749B2">
        <w:tc>
          <w:tcPr>
            <w:tcW w:w="2235" w:type="dxa"/>
          </w:tcPr>
          <w:p w:rsidR="007050FB" w:rsidRPr="00137739" w:rsidRDefault="007050FB" w:rsidP="002452FF">
            <w:pPr>
              <w:spacing w:before="120"/>
              <w:rPr>
                <w:rFonts w:ascii="Corbel" w:hAnsi="Corbel"/>
                <w:b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  <w:lang w:val="it-IT"/>
              </w:rPr>
              <w:t>Cilj predmeta</w:t>
            </w:r>
          </w:p>
        </w:tc>
        <w:tc>
          <w:tcPr>
            <w:tcW w:w="8189" w:type="dxa"/>
          </w:tcPr>
          <w:p w:rsidR="007050FB" w:rsidRPr="00137739" w:rsidRDefault="007050FB" w:rsidP="002452FF">
            <w:pPr>
              <w:spacing w:before="120"/>
              <w:rPr>
                <w:rFonts w:ascii="Corbel" w:hAnsi="Corbel"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Kursom je predvi</w:t>
            </w:r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đeno da s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tudenti savladaju osnovne inženjerske principe analize i dimenzionisanja sistema za tretman komunalnih otpadnih voda.</w:t>
            </w:r>
            <w:r w:rsidR="0077544C"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 </w:t>
            </w:r>
            <w:r w:rsidR="0077544C" w:rsidRPr="00137739">
              <w:rPr>
                <w:rFonts w:ascii="Corbel" w:hAnsi="Corbel"/>
                <w:sz w:val="20"/>
                <w:szCs w:val="20"/>
              </w:rPr>
              <w:t>Daje se pregled osnovih metoda prečišćavanja komunalnih otpadnih voda u cilju zaštite prirodnih voda od zagađenja. Sa teorijskog aspekta razmatraju se fizički, hemijski i biološki procesi prečišćavanja otpadnih voda (prenos gasova, hemijska precipitacija, taloženje, biološki tretman, filtracija, dezinfekcija, itd.) kao i procesi tretmana otpadnog mulja. Akcenat predmeta je stavljen na inženjerski pristup u razmatranju kako pojedinačnih procesa tako i postrojenja za prečišćavanja otpadnih voda kao funkcionalne celine. U okviru programa vežbanja studenti samostalno izrađuju procesno-hidraulički proračun objekata konvencionalnog postrojenja za prečišćavanje otpadnih voda, za liniju vode i za liniju mulja.</w:t>
            </w:r>
          </w:p>
        </w:tc>
      </w:tr>
      <w:tr w:rsidR="00D61C6A" w:rsidRPr="00137739" w:rsidTr="00C749B2">
        <w:tc>
          <w:tcPr>
            <w:tcW w:w="2235" w:type="dxa"/>
          </w:tcPr>
          <w:p w:rsidR="00D61C6A" w:rsidRPr="00137739" w:rsidRDefault="00D61C6A" w:rsidP="002452FF">
            <w:pPr>
              <w:spacing w:before="120"/>
              <w:rPr>
                <w:rFonts w:ascii="Corbel" w:hAnsi="Corbel"/>
                <w:b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</w:rPr>
              <w:t>Literatura</w:t>
            </w:r>
          </w:p>
        </w:tc>
        <w:tc>
          <w:tcPr>
            <w:tcW w:w="8189" w:type="dxa"/>
          </w:tcPr>
          <w:p w:rsidR="00D61C6A" w:rsidRDefault="00D61C6A" w:rsidP="00D61C6A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</w:rPr>
              <w:t xml:space="preserve">Ljubisavljević D., Đukić A., Babić B. </w:t>
            </w:r>
            <w:r w:rsidRPr="00137739">
              <w:rPr>
                <w:rFonts w:ascii="Corbel" w:hAnsi="Corbel"/>
                <w:sz w:val="20"/>
                <w:szCs w:val="20"/>
                <w:u w:val="single"/>
              </w:rPr>
              <w:t>Prečišćavanje otpadnih voda</w:t>
            </w:r>
            <w:r w:rsidRPr="00137739">
              <w:rPr>
                <w:rFonts w:ascii="Corbel" w:hAnsi="Corbel"/>
                <w:sz w:val="20"/>
                <w:szCs w:val="20"/>
              </w:rPr>
              <w:t>, Građevinski fakultet Univerziteta u Beogradu, 2004.</w:t>
            </w:r>
          </w:p>
          <w:p w:rsidR="00063941" w:rsidRPr="00137739" w:rsidRDefault="00063941" w:rsidP="00D61C6A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Corbel" w:hAnsi="Corbel"/>
                <w:sz w:val="20"/>
                <w:szCs w:val="20"/>
              </w:rPr>
            </w:pPr>
            <w:r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Tchobanoglous G., Burton F., Stensel D., </w:t>
            </w:r>
            <w:r w:rsidRPr="00137739">
              <w:rPr>
                <w:rFonts w:ascii="Corbel" w:hAnsi="Corbel"/>
                <w:sz w:val="20"/>
                <w:szCs w:val="20"/>
                <w:u w:val="single"/>
                <w:lang w:val="it-IT"/>
              </w:rPr>
              <w:t>Wastewater Engineering, Treatment and Reuse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>, Metcalf&amp;Eddy,Inc.-McGraw Hill, International Edition, 2004.</w:t>
            </w:r>
          </w:p>
          <w:p w:rsidR="00035245" w:rsidRPr="00137739" w:rsidRDefault="00D61C6A" w:rsidP="00063941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Corbel" w:hAnsi="Corbel"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sz w:val="20"/>
                <w:szCs w:val="20"/>
              </w:rPr>
              <w:t xml:space="preserve">Ljubisavljević D., Đukić A., Babić B., Jovanović B. </w:t>
            </w:r>
            <w:r w:rsidRPr="00137739">
              <w:rPr>
                <w:rFonts w:ascii="Corbel" w:hAnsi="Corbel"/>
                <w:sz w:val="20"/>
                <w:szCs w:val="20"/>
                <w:u w:val="single"/>
              </w:rPr>
              <w:t>Komunalna hidrotehnika – Primeri iz teorije i prakse</w:t>
            </w:r>
            <w:r w:rsidRPr="00137739">
              <w:rPr>
                <w:rFonts w:ascii="Corbel" w:hAnsi="Corbel"/>
                <w:sz w:val="20"/>
                <w:szCs w:val="20"/>
              </w:rPr>
              <w:t>, Građevinski fakultet Univerziteta u Beogradu, 2001.</w:t>
            </w:r>
          </w:p>
        </w:tc>
      </w:tr>
      <w:tr w:rsidR="007523AF" w:rsidRPr="00137739" w:rsidTr="00C749B2">
        <w:tc>
          <w:tcPr>
            <w:tcW w:w="2235" w:type="dxa"/>
          </w:tcPr>
          <w:p w:rsidR="007523AF" w:rsidRPr="00137739" w:rsidRDefault="007523AF" w:rsidP="002452FF">
            <w:pPr>
              <w:spacing w:before="120"/>
              <w:rPr>
                <w:rFonts w:ascii="Corbel" w:hAnsi="Corbel"/>
                <w:b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z w:val="20"/>
                <w:szCs w:val="20"/>
                <w:lang w:val="it-IT"/>
              </w:rPr>
              <w:t>Ocenjivanje</w:t>
            </w:r>
          </w:p>
        </w:tc>
        <w:tc>
          <w:tcPr>
            <w:tcW w:w="8189" w:type="dxa"/>
          </w:tcPr>
          <w:p w:rsidR="007523AF" w:rsidRDefault="007523AF" w:rsidP="007523AF">
            <w:pPr>
              <w:spacing w:before="120"/>
              <w:rPr>
                <w:rFonts w:ascii="Corbel" w:hAnsi="Corbel"/>
                <w:sz w:val="20"/>
                <w:szCs w:val="20"/>
                <w:lang w:val="it-IT"/>
              </w:rPr>
            </w:pPr>
            <w:r>
              <w:rPr>
                <w:rFonts w:ascii="Corbel" w:hAnsi="Corbel"/>
                <w:sz w:val="20"/>
                <w:szCs w:val="20"/>
                <w:lang w:val="it-IT"/>
              </w:rPr>
              <w:t>Godi</w:t>
            </w:r>
            <w:r>
              <w:rPr>
                <w:rFonts w:ascii="Corbel" w:hAnsi="Corbel"/>
                <w:sz w:val="20"/>
                <w:szCs w:val="20"/>
                <w:lang w:val="sr-Latn-CS"/>
              </w:rPr>
              <w:t>šnji zadatak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ab/>
            </w:r>
            <w:r>
              <w:rPr>
                <w:rFonts w:ascii="Corbel" w:hAnsi="Corbel"/>
                <w:sz w:val="20"/>
                <w:szCs w:val="20"/>
                <w:lang w:val="it-IT"/>
              </w:rPr>
              <w:t>-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   </w:t>
            </w:r>
            <w:r w:rsidR="00197925">
              <w:rPr>
                <w:rFonts w:ascii="Corbel" w:hAnsi="Corbel"/>
                <w:sz w:val="20"/>
                <w:szCs w:val="20"/>
                <w:lang w:val="it-IT"/>
              </w:rPr>
              <w:t>30</w:t>
            </w:r>
            <w:r w:rsidRPr="00137739">
              <w:rPr>
                <w:rFonts w:ascii="Corbel" w:hAnsi="Corbel"/>
                <w:sz w:val="20"/>
                <w:szCs w:val="20"/>
                <w:lang w:val="it-IT"/>
              </w:rPr>
              <w:t xml:space="preserve"> % finalne ocene</w:t>
            </w:r>
          </w:p>
          <w:p w:rsidR="007523AF" w:rsidRPr="00137739" w:rsidRDefault="007523AF" w:rsidP="0019792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Finalni ispit</w:t>
            </w:r>
            <w:r>
              <w:rPr>
                <w:rFonts w:ascii="Corbel" w:hAnsi="Corbel"/>
                <w:sz w:val="20"/>
                <w:szCs w:val="20"/>
              </w:rPr>
              <w:tab/>
              <w:t>-</w:t>
            </w:r>
            <w:r w:rsidRPr="00137739">
              <w:rPr>
                <w:rFonts w:ascii="Corbel" w:hAnsi="Corbel"/>
                <w:sz w:val="20"/>
                <w:szCs w:val="20"/>
              </w:rPr>
              <w:t xml:space="preserve">   </w:t>
            </w:r>
            <w:r w:rsidR="00197925">
              <w:rPr>
                <w:rFonts w:ascii="Corbel" w:hAnsi="Corbel"/>
                <w:sz w:val="20"/>
                <w:szCs w:val="20"/>
              </w:rPr>
              <w:t>70</w:t>
            </w:r>
            <w:r w:rsidRPr="00137739">
              <w:rPr>
                <w:rFonts w:ascii="Corbel" w:hAnsi="Corbel"/>
                <w:sz w:val="20"/>
                <w:szCs w:val="20"/>
              </w:rPr>
              <w:t xml:space="preserve"> % finalne ocene; pola</w:t>
            </w:r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že se pismeno (</w:t>
            </w:r>
            <w:r w:rsidR="00197925">
              <w:rPr>
                <w:rFonts w:ascii="Corbel" w:hAnsi="Corbel"/>
                <w:sz w:val="20"/>
                <w:szCs w:val="20"/>
                <w:lang w:val="sr-Latn-CS"/>
              </w:rPr>
              <w:t>40</w:t>
            </w:r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%) i usmeno (</w:t>
            </w:r>
            <w:r w:rsidR="00197925">
              <w:rPr>
                <w:rFonts w:ascii="Corbel" w:hAnsi="Corbel"/>
                <w:sz w:val="20"/>
                <w:szCs w:val="20"/>
                <w:lang w:val="sr-Latn-CS"/>
              </w:rPr>
              <w:t>30</w:t>
            </w:r>
            <w:bookmarkStart w:id="0" w:name="_GoBack"/>
            <w:bookmarkEnd w:id="0"/>
            <w:r w:rsidRPr="00137739">
              <w:rPr>
                <w:rFonts w:ascii="Corbel" w:hAnsi="Corbel"/>
                <w:sz w:val="20"/>
                <w:szCs w:val="20"/>
                <w:lang w:val="sr-Latn-CS"/>
              </w:rPr>
              <w:t>%</w:t>
            </w:r>
            <w:r w:rsidRPr="00137739">
              <w:rPr>
                <w:rFonts w:ascii="Corbel" w:hAnsi="Corbel"/>
                <w:sz w:val="20"/>
                <w:szCs w:val="20"/>
              </w:rPr>
              <w:t>)</w:t>
            </w:r>
            <w:r>
              <w:rPr>
                <w:rFonts w:ascii="Corbel" w:hAnsi="Corbel"/>
                <w:sz w:val="20"/>
                <w:szCs w:val="20"/>
              </w:rPr>
              <w:t>.</w:t>
            </w:r>
          </w:p>
        </w:tc>
      </w:tr>
    </w:tbl>
    <w:p w:rsidR="004A5754" w:rsidRPr="00137739" w:rsidRDefault="004A5754">
      <w:pPr>
        <w:rPr>
          <w:rFonts w:ascii="Corbel" w:hAnsi="Corbel"/>
          <w:b/>
          <w:sz w:val="20"/>
          <w:szCs w:val="20"/>
        </w:rPr>
      </w:pPr>
    </w:p>
    <w:p w:rsidR="00F806E3" w:rsidRPr="00137739" w:rsidRDefault="00F806E3">
      <w:pPr>
        <w:tabs>
          <w:tab w:val="left" w:pos="-720"/>
        </w:tabs>
        <w:jc w:val="both"/>
        <w:rPr>
          <w:rFonts w:ascii="Corbel" w:hAnsi="Corbel"/>
          <w:sz w:val="20"/>
          <w:szCs w:val="20"/>
        </w:rPr>
      </w:pPr>
      <w:r w:rsidRPr="00137739">
        <w:rPr>
          <w:rFonts w:ascii="Corbel" w:hAnsi="Corbel"/>
          <w:sz w:val="20"/>
          <w:szCs w:val="20"/>
          <w:lang w:val="it-IT"/>
        </w:rPr>
        <w:tab/>
      </w:r>
    </w:p>
    <w:p w:rsidR="00F806E3" w:rsidRPr="00137739" w:rsidRDefault="00F806E3">
      <w:pPr>
        <w:tabs>
          <w:tab w:val="left" w:pos="2160"/>
        </w:tabs>
        <w:ind w:left="2520" w:hanging="2520"/>
        <w:jc w:val="both"/>
        <w:rPr>
          <w:rFonts w:ascii="Corbel" w:hAnsi="Corbel"/>
          <w:b/>
          <w:sz w:val="20"/>
          <w:szCs w:val="20"/>
        </w:rPr>
      </w:pPr>
    </w:p>
    <w:p w:rsidR="00F806E3" w:rsidRPr="00137739" w:rsidRDefault="004A5754">
      <w:pPr>
        <w:jc w:val="center"/>
        <w:rPr>
          <w:rFonts w:ascii="Corbel" w:hAnsi="Corbel"/>
          <w:b/>
          <w:sz w:val="20"/>
          <w:szCs w:val="20"/>
          <w:lang w:val="it-IT"/>
        </w:rPr>
      </w:pPr>
      <w:r w:rsidRPr="00137739">
        <w:rPr>
          <w:rFonts w:ascii="Corbel" w:hAnsi="Corbel"/>
          <w:b/>
          <w:sz w:val="20"/>
          <w:szCs w:val="20"/>
          <w:lang w:val="it-IT"/>
        </w:rPr>
        <w:t>Kalendar i p</w:t>
      </w:r>
      <w:r w:rsidR="00F806E3" w:rsidRPr="00137739">
        <w:rPr>
          <w:rFonts w:ascii="Corbel" w:hAnsi="Corbel"/>
          <w:b/>
          <w:sz w:val="20"/>
          <w:szCs w:val="20"/>
          <w:lang w:val="it-IT"/>
        </w:rPr>
        <w:t xml:space="preserve">rogram </w:t>
      </w:r>
      <w:r w:rsidR="004F4484" w:rsidRPr="00137739">
        <w:rPr>
          <w:rFonts w:ascii="Corbel" w:hAnsi="Corbel"/>
          <w:b/>
          <w:sz w:val="20"/>
          <w:szCs w:val="20"/>
          <w:lang w:val="it-IT"/>
        </w:rPr>
        <w:t xml:space="preserve">nastave </w:t>
      </w:r>
      <w:r w:rsidR="00F806E3" w:rsidRPr="00137739">
        <w:rPr>
          <w:rFonts w:ascii="Corbel" w:hAnsi="Corbel"/>
          <w:b/>
          <w:sz w:val="20"/>
          <w:szCs w:val="20"/>
          <w:lang w:val="it-IT"/>
        </w:rPr>
        <w:t>za 20</w:t>
      </w:r>
      <w:r w:rsidRPr="00137739">
        <w:rPr>
          <w:rFonts w:ascii="Corbel" w:hAnsi="Corbel"/>
          <w:b/>
          <w:sz w:val="20"/>
          <w:szCs w:val="20"/>
          <w:lang w:val="it-IT"/>
        </w:rPr>
        <w:t>1</w:t>
      </w:r>
      <w:r w:rsidR="009C749F">
        <w:rPr>
          <w:rFonts w:ascii="Corbel" w:hAnsi="Corbel"/>
          <w:b/>
          <w:sz w:val="20"/>
          <w:szCs w:val="20"/>
          <w:lang w:val="it-IT"/>
        </w:rPr>
        <w:t>9</w:t>
      </w:r>
      <w:r w:rsidR="00F806E3" w:rsidRPr="00137739">
        <w:rPr>
          <w:rFonts w:ascii="Corbel" w:hAnsi="Corbel"/>
          <w:b/>
          <w:sz w:val="20"/>
          <w:szCs w:val="20"/>
          <w:lang w:val="it-IT"/>
        </w:rPr>
        <w:t>/20</w:t>
      </w:r>
      <w:r w:rsidR="009C749F">
        <w:rPr>
          <w:rFonts w:ascii="Corbel" w:hAnsi="Corbel"/>
          <w:b/>
          <w:sz w:val="20"/>
          <w:szCs w:val="20"/>
          <w:lang w:val="it-IT"/>
        </w:rPr>
        <w:t>20</w:t>
      </w:r>
      <w:r w:rsidR="00D04DFB">
        <w:rPr>
          <w:rFonts w:ascii="Corbel" w:hAnsi="Corbel"/>
          <w:b/>
          <w:sz w:val="20"/>
          <w:szCs w:val="20"/>
          <w:lang w:val="it-IT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16"/>
        <w:gridCol w:w="9408"/>
      </w:tblGrid>
      <w:tr w:rsidR="00D04DFB" w:rsidRPr="00137739" w:rsidTr="00D04DFB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NEDELJA</w:t>
            </w:r>
          </w:p>
        </w:tc>
        <w:tc>
          <w:tcPr>
            <w:tcW w:w="4513" w:type="pct"/>
            <w:tcBorders>
              <w:top w:val="single" w:sz="4" w:space="0" w:color="auto"/>
              <w:bottom w:val="single" w:sz="4" w:space="0" w:color="auto"/>
            </w:tcBorders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 xml:space="preserve">SADRŽAJ </w:t>
            </w:r>
          </w:p>
        </w:tc>
      </w:tr>
      <w:tr w:rsidR="00C749B2" w:rsidRPr="00137739" w:rsidTr="004D6EFF">
        <w:trPr>
          <w:jc w:val="center"/>
        </w:trPr>
        <w:tc>
          <w:tcPr>
            <w:tcW w:w="4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9B2" w:rsidRPr="00137739" w:rsidRDefault="00C749B2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451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49B2" w:rsidRPr="00587994" w:rsidRDefault="00C749B2">
            <w:pPr>
              <w:rPr>
                <w:rFonts w:ascii="Corbel" w:hAnsi="Corbel"/>
                <w:smallCaps/>
                <w:sz w:val="20"/>
                <w:szCs w:val="20"/>
              </w:rPr>
            </w:pPr>
            <w:r>
              <w:rPr>
                <w:rFonts w:ascii="Corbel" w:hAnsi="Corbel"/>
                <w:b/>
                <w:smallCaps/>
                <w:sz w:val="20"/>
                <w:szCs w:val="20"/>
              </w:rPr>
              <w:t>Uvod</w:t>
            </w:r>
          </w:p>
        </w:tc>
      </w:tr>
      <w:tr w:rsidR="00D04DFB" w:rsidRPr="00137739" w:rsidTr="00C749B2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1.</w:t>
            </w:r>
          </w:p>
        </w:tc>
        <w:tc>
          <w:tcPr>
            <w:tcW w:w="4513" w:type="pct"/>
            <w:shd w:val="clear" w:color="auto" w:fill="auto"/>
          </w:tcPr>
          <w:p w:rsidR="00D04DFB" w:rsidRPr="00587994" w:rsidRDefault="00D04DFB">
            <w:pPr>
              <w:rPr>
                <w:rFonts w:ascii="Corbel" w:hAnsi="Corbel"/>
                <w:smallCaps/>
                <w:sz w:val="20"/>
                <w:szCs w:val="20"/>
                <w:lang w:val="sr-Latn-CS"/>
              </w:rPr>
            </w:pPr>
            <w:r w:rsidRPr="00587994">
              <w:rPr>
                <w:rFonts w:ascii="Corbel" w:hAnsi="Corbel"/>
                <w:sz w:val="20"/>
                <w:szCs w:val="20"/>
              </w:rPr>
              <w:t>Uticaj</w:t>
            </w:r>
            <w:r>
              <w:rPr>
                <w:rFonts w:ascii="Corbel" w:hAnsi="Corbel"/>
                <w:sz w:val="20"/>
                <w:szCs w:val="20"/>
              </w:rPr>
              <w:t xml:space="preserve"> gradskih otpadnih voda na vodoprijemnike. Bilans kiseonika u prirodnim vodama. 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2.</w:t>
            </w:r>
          </w:p>
        </w:tc>
        <w:tc>
          <w:tcPr>
            <w:tcW w:w="4513" w:type="pct"/>
            <w:shd w:val="clear" w:color="auto" w:fill="auto"/>
          </w:tcPr>
          <w:p w:rsidR="00D04DFB" w:rsidRPr="00587994" w:rsidRDefault="00C749B2">
            <w:pPr>
              <w:rPr>
                <w:rFonts w:ascii="Corbel" w:hAnsi="Corbel"/>
                <w:smallCaps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Zakonska regulativa. </w:t>
            </w:r>
            <w:r w:rsidR="00D04DFB">
              <w:rPr>
                <w:rFonts w:ascii="Corbel" w:hAnsi="Corbel"/>
                <w:sz w:val="20"/>
                <w:szCs w:val="20"/>
              </w:rPr>
              <w:t>Opterećenje gradskih otpadnih voda zagađujućim materijama</w:t>
            </w:r>
            <w:r>
              <w:rPr>
                <w:rFonts w:ascii="Corbel" w:hAnsi="Corbel"/>
                <w:sz w:val="20"/>
                <w:szCs w:val="20"/>
              </w:rPr>
              <w:t>.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shd w:val="clear" w:color="auto" w:fill="E6E6E6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4513" w:type="pct"/>
            <w:shd w:val="clear" w:color="auto" w:fill="E6E6E6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mallCaps/>
                <w:sz w:val="20"/>
                <w:szCs w:val="20"/>
              </w:rPr>
              <w:t>Procesi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3.</w:t>
            </w:r>
          </w:p>
        </w:tc>
        <w:tc>
          <w:tcPr>
            <w:tcW w:w="4513" w:type="pct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  <w:lang w:val="sr-Latn-CS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Rešetke</w:t>
            </w:r>
            <w:r w:rsidR="009A2084">
              <w:rPr>
                <w:rFonts w:ascii="Corbel" w:hAnsi="Corbel"/>
                <w:bCs/>
                <w:sz w:val="20"/>
                <w:szCs w:val="20"/>
              </w:rPr>
              <w:t>. Egalizacija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4.</w:t>
            </w:r>
          </w:p>
        </w:tc>
        <w:tc>
          <w:tcPr>
            <w:tcW w:w="4513" w:type="pct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Taloženje (diskretno</w:t>
            </w:r>
            <w:r w:rsidR="006C3610">
              <w:rPr>
                <w:rFonts w:ascii="Corbel" w:hAnsi="Corbel"/>
                <w:bCs/>
                <w:sz w:val="20"/>
                <w:szCs w:val="20"/>
              </w:rPr>
              <w:t xml:space="preserve"> taloženje;</w:t>
            </w:r>
            <w:r>
              <w:rPr>
                <w:rFonts w:ascii="Corbel" w:hAnsi="Corbel"/>
                <w:bCs/>
                <w:sz w:val="20"/>
                <w:szCs w:val="20"/>
              </w:rPr>
              <w:t xml:space="preserve"> taloženje flokulisanih čestica</w:t>
            </w:r>
            <w:r w:rsidRPr="00137739">
              <w:rPr>
                <w:rFonts w:ascii="Corbel" w:hAnsi="Corbel"/>
                <w:bCs/>
                <w:sz w:val="20"/>
                <w:szCs w:val="20"/>
              </w:rPr>
              <w:t>)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5.</w:t>
            </w:r>
          </w:p>
        </w:tc>
        <w:tc>
          <w:tcPr>
            <w:tcW w:w="4513" w:type="pct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Taloženje (zonsko i komprimovano)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6.</w:t>
            </w:r>
          </w:p>
        </w:tc>
        <w:tc>
          <w:tcPr>
            <w:tcW w:w="4513" w:type="pct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Biološko prečišćavanje (sistem sa </w:t>
            </w:r>
            <w:r w:rsidR="006C3610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suspendovanim </w:t>
            </w:r>
            <w:r w:rsidRPr="00137739">
              <w:rPr>
                <w:rFonts w:ascii="Corbel" w:hAnsi="Corbel"/>
                <w:bCs/>
                <w:sz w:val="20"/>
                <w:szCs w:val="20"/>
                <w:lang w:val="de-DE"/>
              </w:rPr>
              <w:t>aktivnim muljem</w:t>
            </w:r>
            <w:r w:rsidR="006C3610">
              <w:rPr>
                <w:rFonts w:ascii="Corbel" w:hAnsi="Corbel"/>
                <w:bCs/>
                <w:sz w:val="20"/>
                <w:szCs w:val="20"/>
                <w:lang w:val="de-DE"/>
              </w:rPr>
              <w:t>, aeracioni bazen</w:t>
            </w:r>
            <w:r w:rsidRPr="00137739">
              <w:rPr>
                <w:rFonts w:ascii="Corbel" w:hAnsi="Corbel"/>
                <w:bCs/>
                <w:sz w:val="20"/>
                <w:szCs w:val="20"/>
                <w:lang w:val="de-DE"/>
              </w:rPr>
              <w:t>)</w:t>
            </w:r>
          </w:p>
        </w:tc>
      </w:tr>
      <w:tr w:rsidR="00D04DFB" w:rsidRPr="00137739" w:rsidTr="00D04DFB">
        <w:trPr>
          <w:cantSplit/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7.</w:t>
            </w:r>
          </w:p>
        </w:tc>
        <w:tc>
          <w:tcPr>
            <w:tcW w:w="4513" w:type="pct"/>
            <w:shd w:val="clear" w:color="auto" w:fill="auto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Aeracija (sistem sa </w:t>
            </w:r>
            <w:r w:rsidR="006C3610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suspendovanim </w:t>
            </w:r>
            <w:r w:rsidRPr="00137739">
              <w:rPr>
                <w:rFonts w:ascii="Corbel" w:hAnsi="Corbel"/>
                <w:bCs/>
                <w:sz w:val="20"/>
                <w:szCs w:val="20"/>
                <w:lang w:val="de-DE"/>
              </w:rPr>
              <w:t>aktivnim muljem)</w:t>
            </w:r>
          </w:p>
        </w:tc>
      </w:tr>
      <w:tr w:rsidR="00D04DFB" w:rsidRPr="00137739" w:rsidTr="00D04DFB">
        <w:trPr>
          <w:cantSplit/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4513" w:type="pct"/>
            <w:shd w:val="clear" w:color="auto" w:fill="auto"/>
          </w:tcPr>
          <w:p w:rsidR="00D04DFB" w:rsidRPr="00137739" w:rsidRDefault="00D04DF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i/>
                <w:sz w:val="20"/>
                <w:szCs w:val="20"/>
              </w:rPr>
              <w:t>Pregled i ocena prvog dela godišnjeg zadatka</w:t>
            </w:r>
          </w:p>
        </w:tc>
      </w:tr>
      <w:tr w:rsidR="00D04DFB" w:rsidRPr="00137739" w:rsidTr="00D04DFB">
        <w:trPr>
          <w:cantSplit/>
          <w:jc w:val="center"/>
        </w:trPr>
        <w:tc>
          <w:tcPr>
            <w:tcW w:w="487" w:type="pct"/>
            <w:shd w:val="clear" w:color="auto" w:fill="E6E6E6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4513" w:type="pct"/>
            <w:shd w:val="clear" w:color="auto" w:fill="E6E6E6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smallCaps/>
                <w:sz w:val="20"/>
                <w:szCs w:val="20"/>
              </w:rPr>
              <w:t xml:space="preserve">Postrojenje za prečišćavanje </w:t>
            </w:r>
            <w:r>
              <w:rPr>
                <w:rFonts w:ascii="Corbel" w:hAnsi="Corbel"/>
                <w:b/>
                <w:smallCaps/>
                <w:sz w:val="20"/>
                <w:szCs w:val="20"/>
              </w:rPr>
              <w:t xml:space="preserve">gradskih </w:t>
            </w:r>
            <w:r w:rsidRPr="00137739">
              <w:rPr>
                <w:rFonts w:ascii="Corbel" w:hAnsi="Corbel"/>
                <w:b/>
                <w:smallCaps/>
                <w:sz w:val="20"/>
                <w:szCs w:val="20"/>
              </w:rPr>
              <w:t>otpadnih voda</w:t>
            </w:r>
          </w:p>
        </w:tc>
      </w:tr>
      <w:tr w:rsidR="00D04DFB" w:rsidRPr="00137739" w:rsidTr="00D04DFB">
        <w:trPr>
          <w:cantSplit/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8.</w:t>
            </w:r>
          </w:p>
        </w:tc>
        <w:tc>
          <w:tcPr>
            <w:tcW w:w="4513" w:type="pct"/>
            <w:shd w:val="clear" w:color="auto" w:fill="auto"/>
          </w:tcPr>
          <w:p w:rsidR="00D04DFB" w:rsidRPr="00137739" w:rsidRDefault="00D04DFB" w:rsidP="00D502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Postrojenje za prečišćavanje otpadnih voda (PPOV): tehnološka shema postupka i određivanje hidrauličkog i organskog opterećenja uređaja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9.</w:t>
            </w:r>
          </w:p>
        </w:tc>
        <w:tc>
          <w:tcPr>
            <w:tcW w:w="4513" w:type="pct"/>
          </w:tcPr>
          <w:p w:rsidR="00D04DFB" w:rsidRPr="00137739" w:rsidRDefault="00D04DFB" w:rsidP="00D502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PPOV: dimenzionisanje uređaja za mehanički tretman (rešetke, peskolov i primarne taložnice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10.</w:t>
            </w:r>
          </w:p>
        </w:tc>
        <w:tc>
          <w:tcPr>
            <w:tcW w:w="4513" w:type="pct"/>
          </w:tcPr>
          <w:p w:rsidR="00D04DFB" w:rsidRPr="00137739" w:rsidRDefault="00D04DFB" w:rsidP="00D502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PPOV: dimenzionisanje uređaja za biološki tretman (aeracioni bazen i naknadne taložnice)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11.</w:t>
            </w:r>
          </w:p>
        </w:tc>
        <w:tc>
          <w:tcPr>
            <w:tcW w:w="4513" w:type="pct"/>
          </w:tcPr>
          <w:p w:rsidR="00D04DFB" w:rsidRPr="00137739" w:rsidRDefault="00D04DFB" w:rsidP="00D502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PPOV: dimenzionisanje uređaja za tretman otpadnog mulja, situacioni plan PPOV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12.</w:t>
            </w:r>
          </w:p>
        </w:tc>
        <w:tc>
          <w:tcPr>
            <w:tcW w:w="4513" w:type="pct"/>
          </w:tcPr>
          <w:p w:rsidR="00D04DFB" w:rsidRPr="00137739" w:rsidRDefault="00D04DFB" w:rsidP="00D502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 xml:space="preserve">PPOV: </w:t>
            </w:r>
            <w:r>
              <w:rPr>
                <w:rFonts w:ascii="Corbel" w:hAnsi="Corbel"/>
                <w:bCs/>
                <w:sz w:val="20"/>
                <w:szCs w:val="20"/>
              </w:rPr>
              <w:t>Hidraulički aspekti PPOV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  <w:lang w:val="it-IT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  <w:lang w:val="it-IT"/>
              </w:rPr>
              <w:t>13.</w:t>
            </w:r>
          </w:p>
        </w:tc>
        <w:tc>
          <w:tcPr>
            <w:tcW w:w="4513" w:type="pct"/>
          </w:tcPr>
          <w:p w:rsidR="00D04DFB" w:rsidRPr="008742FD" w:rsidRDefault="00D04DFB" w:rsidP="00D502DF">
            <w:pPr>
              <w:rPr>
                <w:rFonts w:ascii="Corbel" w:hAnsi="Corbel"/>
                <w:b/>
                <w:sz w:val="20"/>
                <w:szCs w:val="20"/>
                <w:lang w:val="sr-Latn-CS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 xml:space="preserve">PPOV: Hidraulički proračun PPOV, </w:t>
            </w:r>
            <w:r>
              <w:rPr>
                <w:rFonts w:ascii="Corbel" w:hAnsi="Corbel"/>
                <w:bCs/>
                <w:sz w:val="20"/>
                <w:szCs w:val="20"/>
              </w:rPr>
              <w:t>h</w:t>
            </w:r>
            <w:r w:rsidRPr="00137739">
              <w:rPr>
                <w:rFonts w:ascii="Corbel" w:hAnsi="Corbel"/>
                <w:bCs/>
                <w:sz w:val="20"/>
                <w:szCs w:val="20"/>
              </w:rPr>
              <w:t>idraulički profil PPOV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Cs/>
                <w:sz w:val="20"/>
                <w:szCs w:val="20"/>
              </w:rPr>
              <w:t>14.</w:t>
            </w:r>
          </w:p>
        </w:tc>
        <w:tc>
          <w:tcPr>
            <w:tcW w:w="4513" w:type="pct"/>
          </w:tcPr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Stručna ekskurzija</w:t>
            </w:r>
            <w:r>
              <w:rPr>
                <w:rFonts w:ascii="Corbel" w:hAnsi="Corbel"/>
                <w:b/>
                <w:sz w:val="20"/>
                <w:szCs w:val="20"/>
                <w:lang w:val="sr-Latn-CS"/>
              </w:rPr>
              <w:t xml:space="preserve"> – obilazak PPOV biće organizovana u toku semestra</w:t>
            </w:r>
          </w:p>
        </w:tc>
      </w:tr>
      <w:tr w:rsidR="00D04DFB" w:rsidRPr="00137739" w:rsidTr="00D04DFB">
        <w:trPr>
          <w:jc w:val="center"/>
        </w:trPr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D04DFB" w:rsidRPr="00137739" w:rsidRDefault="00D04DFB" w:rsidP="001F6A69">
            <w:pPr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15.</w:t>
            </w:r>
          </w:p>
        </w:tc>
        <w:tc>
          <w:tcPr>
            <w:tcW w:w="4513" w:type="pct"/>
            <w:tcBorders>
              <w:bottom w:val="single" w:sz="4" w:space="0" w:color="auto"/>
            </w:tcBorders>
          </w:tcPr>
          <w:p w:rsidR="00D04DFB" w:rsidRDefault="00D04DF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Konsultacije i priprema za ispit</w:t>
            </w:r>
            <w:r w:rsidRPr="00137739">
              <w:rPr>
                <w:rFonts w:ascii="Corbel" w:hAnsi="Corbel"/>
                <w:b/>
                <w:i/>
                <w:sz w:val="20"/>
                <w:szCs w:val="20"/>
              </w:rPr>
              <w:t xml:space="preserve"> </w:t>
            </w:r>
          </w:p>
          <w:p w:rsidR="00D04DFB" w:rsidRPr="00137739" w:rsidRDefault="00D04DFB">
            <w:pPr>
              <w:rPr>
                <w:rFonts w:ascii="Corbel" w:hAnsi="Corbel"/>
                <w:bCs/>
                <w:sz w:val="20"/>
                <w:szCs w:val="20"/>
              </w:rPr>
            </w:pPr>
            <w:r w:rsidRPr="00137739">
              <w:rPr>
                <w:rFonts w:ascii="Corbel" w:hAnsi="Corbel"/>
                <w:b/>
                <w:i/>
                <w:sz w:val="20"/>
                <w:szCs w:val="20"/>
              </w:rPr>
              <w:t>Pregled i ocena drugog dela godišnjeg zadatka (PPOV)</w:t>
            </w:r>
          </w:p>
        </w:tc>
      </w:tr>
    </w:tbl>
    <w:p w:rsidR="00F806E3" w:rsidRPr="00137739" w:rsidRDefault="00F806E3">
      <w:pPr>
        <w:rPr>
          <w:rFonts w:ascii="Corbel" w:hAnsi="Corbel"/>
          <w:sz w:val="20"/>
          <w:szCs w:val="20"/>
          <w:lang w:val="sr-Cyrl-CS"/>
        </w:rPr>
      </w:pPr>
    </w:p>
    <w:sectPr w:rsidR="00F806E3" w:rsidRPr="00137739">
      <w:pgSz w:w="11909" w:h="16834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E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67F74"/>
    <w:multiLevelType w:val="hybridMultilevel"/>
    <w:tmpl w:val="DCC298BA"/>
    <w:lvl w:ilvl="0" w:tplc="875A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22E85"/>
    <w:multiLevelType w:val="hybridMultilevel"/>
    <w:tmpl w:val="0D862338"/>
    <w:lvl w:ilvl="0" w:tplc="82C2DD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D7013"/>
    <w:multiLevelType w:val="hybridMultilevel"/>
    <w:tmpl w:val="D5720722"/>
    <w:lvl w:ilvl="0" w:tplc="C37AC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93AB2"/>
    <w:multiLevelType w:val="hybridMultilevel"/>
    <w:tmpl w:val="58A40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C5A86"/>
    <w:multiLevelType w:val="hybridMultilevel"/>
    <w:tmpl w:val="26D0863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AA"/>
    <w:rsid w:val="00035245"/>
    <w:rsid w:val="00044D51"/>
    <w:rsid w:val="00063941"/>
    <w:rsid w:val="000A392C"/>
    <w:rsid w:val="000B1975"/>
    <w:rsid w:val="000B42BB"/>
    <w:rsid w:val="001036A9"/>
    <w:rsid w:val="00137739"/>
    <w:rsid w:val="00183E1A"/>
    <w:rsid w:val="00197925"/>
    <w:rsid w:val="001F6A69"/>
    <w:rsid w:val="00205F7B"/>
    <w:rsid w:val="00237FC9"/>
    <w:rsid w:val="002452FF"/>
    <w:rsid w:val="003013B4"/>
    <w:rsid w:val="00364C27"/>
    <w:rsid w:val="003D5BF4"/>
    <w:rsid w:val="003D665E"/>
    <w:rsid w:val="00424644"/>
    <w:rsid w:val="004300E4"/>
    <w:rsid w:val="004401FF"/>
    <w:rsid w:val="0047621E"/>
    <w:rsid w:val="0048758B"/>
    <w:rsid w:val="004A5754"/>
    <w:rsid w:val="004D1C3F"/>
    <w:rsid w:val="004D6EFF"/>
    <w:rsid w:val="004F4484"/>
    <w:rsid w:val="00587994"/>
    <w:rsid w:val="005B3B5C"/>
    <w:rsid w:val="006224A0"/>
    <w:rsid w:val="006564E6"/>
    <w:rsid w:val="006A4AA3"/>
    <w:rsid w:val="006C3610"/>
    <w:rsid w:val="006C6A84"/>
    <w:rsid w:val="007050FB"/>
    <w:rsid w:val="007078A3"/>
    <w:rsid w:val="007523AF"/>
    <w:rsid w:val="0077337C"/>
    <w:rsid w:val="0077544C"/>
    <w:rsid w:val="007971F2"/>
    <w:rsid w:val="007B3BCA"/>
    <w:rsid w:val="007D29BB"/>
    <w:rsid w:val="007F3418"/>
    <w:rsid w:val="008742FD"/>
    <w:rsid w:val="008846A8"/>
    <w:rsid w:val="008854D0"/>
    <w:rsid w:val="008B3CAF"/>
    <w:rsid w:val="00900DB4"/>
    <w:rsid w:val="00904CE5"/>
    <w:rsid w:val="0090603F"/>
    <w:rsid w:val="009A2084"/>
    <w:rsid w:val="009C749F"/>
    <w:rsid w:val="00A23BB9"/>
    <w:rsid w:val="00A36B1B"/>
    <w:rsid w:val="00AC0D27"/>
    <w:rsid w:val="00AC77B4"/>
    <w:rsid w:val="00AD6BA3"/>
    <w:rsid w:val="00AE7287"/>
    <w:rsid w:val="00B05031"/>
    <w:rsid w:val="00B15152"/>
    <w:rsid w:val="00B33CAA"/>
    <w:rsid w:val="00B86DB7"/>
    <w:rsid w:val="00BB3E9A"/>
    <w:rsid w:val="00BB5099"/>
    <w:rsid w:val="00BF0B04"/>
    <w:rsid w:val="00C06CA7"/>
    <w:rsid w:val="00C1703B"/>
    <w:rsid w:val="00C71713"/>
    <w:rsid w:val="00C749B2"/>
    <w:rsid w:val="00C85951"/>
    <w:rsid w:val="00C94DB9"/>
    <w:rsid w:val="00CA7C56"/>
    <w:rsid w:val="00D04DFB"/>
    <w:rsid w:val="00D30538"/>
    <w:rsid w:val="00D502DF"/>
    <w:rsid w:val="00D61C6A"/>
    <w:rsid w:val="00D6256A"/>
    <w:rsid w:val="00D66869"/>
    <w:rsid w:val="00D93CC3"/>
    <w:rsid w:val="00DA0E09"/>
    <w:rsid w:val="00DB629E"/>
    <w:rsid w:val="00DE7A98"/>
    <w:rsid w:val="00E810D4"/>
    <w:rsid w:val="00E95FE1"/>
    <w:rsid w:val="00F01E91"/>
    <w:rsid w:val="00F4678D"/>
    <w:rsid w:val="00F806E3"/>
    <w:rsid w:val="00F9582E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vedarica@gr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ic@gr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aj@grf.bg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</vt:lpstr>
    </vt:vector>
  </TitlesOfParts>
  <Company> </Company>
  <LinksUpToDate>false</LinksUpToDate>
  <CharactersWithSpaces>3417</CharactersWithSpaces>
  <SharedDoc>false</SharedDoc>
  <HLinks>
    <vt:vector size="12" baseType="variant"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mailto:babic@grf.bg.ac.rs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mailto:branaj@grf.bg.ac.rs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subject/>
  <dc:creator> </dc:creator>
  <cp:keywords/>
  <dc:description/>
  <cp:lastModifiedBy>BRANISLAVA JOVANOVIĆ</cp:lastModifiedBy>
  <cp:revision>6</cp:revision>
  <cp:lastPrinted>2019-10-14T14:18:00Z</cp:lastPrinted>
  <dcterms:created xsi:type="dcterms:W3CDTF">2019-10-14T13:35:00Z</dcterms:created>
  <dcterms:modified xsi:type="dcterms:W3CDTF">2019-10-16T12:47:00Z</dcterms:modified>
</cp:coreProperties>
</file>